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366A" w:rsidRPr="00093B9E" w14:paraId="3AC135BC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B84C5" w14:textId="609BEF6D" w:rsidR="00D3366A" w:rsidRPr="00093B9E" w:rsidRDefault="00F51678" w:rsidP="000C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NARYSTĖS </w:t>
            </w:r>
            <w:r w:rsidR="00F115ED"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SUTARTIS</w:t>
            </w:r>
            <w:r w:rsidR="00E74AEC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 </w:t>
            </w:r>
          </w:p>
        </w:tc>
      </w:tr>
      <w:tr w:rsidR="00D3366A" w:rsidRPr="00093B9E" w14:paraId="53EF61E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CDB8D" w14:textId="77777777" w:rsidR="00D3366A" w:rsidRPr="00093B9E" w:rsidRDefault="00D3366A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D3366A" w:rsidRPr="00093B9E" w14:paraId="13BE7EE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DCE41" w14:textId="344FB248" w:rsidR="00D3366A" w:rsidRPr="00093B9E" w:rsidRDefault="00D3366A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[</w:t>
            </w:r>
            <w:r w:rsidR="00720F47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 xml:space="preserve">data, </w:t>
            </w:r>
            <w:r w:rsidR="00916262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Kaunas</w:t>
            </w: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]</w:t>
            </w:r>
          </w:p>
        </w:tc>
      </w:tr>
      <w:tr w:rsidR="00D3366A" w:rsidRPr="00093B9E" w14:paraId="156D29E9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80E65" w14:textId="77777777" w:rsidR="00D3366A" w:rsidRPr="008A67C3" w:rsidRDefault="00D3366A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D3366A" w:rsidRPr="00093B9E" w14:paraId="22E2978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F8F8C" w14:textId="01A7C901" w:rsidR="00D3366A" w:rsidRPr="008A67C3" w:rsidRDefault="00D3366A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8A67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MB „</w:t>
            </w:r>
            <w:proofErr w:type="spellStart"/>
            <w:r w:rsidRPr="008A67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Nemunė</w:t>
            </w:r>
            <w:proofErr w:type="spellEnd"/>
            <w:r w:rsidRPr="008A67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“</w:t>
            </w:r>
            <w:r w:rsidRPr="008A67C3">
              <w:rPr>
                <w:rFonts w:ascii="Arial" w:hAnsi="Arial" w:cs="Arial"/>
                <w:sz w:val="20"/>
                <w:szCs w:val="20"/>
                <w:lang w:val="lt-LT"/>
              </w:rPr>
              <w:t xml:space="preserve">, juridinio asmens kodas 304542396, buveinės adresas </w:t>
            </w:r>
            <w:r w:rsidR="00FA325C">
              <w:rPr>
                <w:rFonts w:ascii="Arial" w:hAnsi="Arial" w:cs="Arial"/>
                <w:sz w:val="20"/>
                <w:szCs w:val="20"/>
                <w:lang w:val="lt-LT"/>
              </w:rPr>
              <w:t xml:space="preserve">Šilo g. </w:t>
            </w:r>
            <w:r w:rsidR="00FA325C">
              <w:rPr>
                <w:rFonts w:ascii="Arial" w:hAnsi="Arial" w:cs="Arial"/>
                <w:sz w:val="20"/>
                <w:szCs w:val="20"/>
                <w:lang w:val="en-GB"/>
              </w:rPr>
              <w:t>2, Ramu</w:t>
            </w:r>
            <w:proofErr w:type="spellStart"/>
            <w:r w:rsidR="00FA325C">
              <w:rPr>
                <w:rFonts w:ascii="Arial" w:hAnsi="Arial" w:cs="Arial"/>
                <w:sz w:val="20"/>
                <w:szCs w:val="20"/>
                <w:lang w:val="lt-LT"/>
              </w:rPr>
              <w:t>čių</w:t>
            </w:r>
            <w:proofErr w:type="spellEnd"/>
            <w:r w:rsidR="00FA325C">
              <w:rPr>
                <w:rFonts w:ascii="Arial" w:hAnsi="Arial" w:cs="Arial"/>
                <w:sz w:val="20"/>
                <w:szCs w:val="20"/>
                <w:lang w:val="lt-LT"/>
              </w:rPr>
              <w:t xml:space="preserve"> k., Kauno raj.,</w:t>
            </w:r>
            <w:r w:rsidR="00FA325C" w:rsidRPr="004F7C3A">
              <w:rPr>
                <w:rFonts w:ascii="Arial" w:hAnsi="Arial" w:cs="Arial"/>
                <w:sz w:val="20"/>
                <w:szCs w:val="20"/>
                <w:lang w:val="lt-LT"/>
              </w:rPr>
              <w:t xml:space="preserve"> Lietuvos Respublika</w:t>
            </w:r>
            <w:r w:rsidR="00FA325C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 w:rsidRPr="008A67C3">
              <w:rPr>
                <w:rFonts w:ascii="Arial" w:hAnsi="Arial" w:cs="Arial"/>
                <w:sz w:val="20"/>
                <w:szCs w:val="20"/>
                <w:lang w:val="lt-LT"/>
              </w:rPr>
              <w:t>(</w:t>
            </w:r>
            <w:r w:rsidR="00165C55" w:rsidRPr="008A67C3">
              <w:rPr>
                <w:rFonts w:ascii="Arial" w:hAnsi="Arial" w:cs="Arial"/>
                <w:sz w:val="20"/>
                <w:szCs w:val="20"/>
                <w:lang w:val="lt-LT"/>
              </w:rPr>
              <w:t xml:space="preserve">toliau – </w:t>
            </w:r>
            <w:r w:rsidRPr="008A67C3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Studija</w:t>
            </w:r>
            <w:r w:rsidRPr="008A67C3">
              <w:rPr>
                <w:rFonts w:ascii="Arial" w:hAnsi="Arial" w:cs="Arial"/>
                <w:sz w:val="20"/>
                <w:szCs w:val="20"/>
                <w:lang w:val="lt-LT"/>
              </w:rPr>
              <w:t xml:space="preserve">), atstovaujamos Studijos direktorės Kristinos </w:t>
            </w:r>
            <w:proofErr w:type="spellStart"/>
            <w:r w:rsidRPr="008A67C3">
              <w:rPr>
                <w:rFonts w:ascii="Arial" w:hAnsi="Arial" w:cs="Arial"/>
                <w:sz w:val="20"/>
                <w:szCs w:val="20"/>
                <w:lang w:val="lt-LT"/>
              </w:rPr>
              <w:t>Zai</w:t>
            </w:r>
            <w:r w:rsidR="000E416D" w:rsidRPr="008A67C3">
              <w:rPr>
                <w:rFonts w:ascii="Arial" w:hAnsi="Arial" w:cs="Arial"/>
                <w:sz w:val="20"/>
                <w:szCs w:val="20"/>
                <w:lang w:val="lt-LT"/>
              </w:rPr>
              <w:t>č</w:t>
            </w:r>
            <w:r w:rsidRPr="008A67C3">
              <w:rPr>
                <w:rFonts w:ascii="Arial" w:hAnsi="Arial" w:cs="Arial"/>
                <w:sz w:val="20"/>
                <w:szCs w:val="20"/>
                <w:lang w:val="lt-LT"/>
              </w:rPr>
              <w:t>enkovienės</w:t>
            </w:r>
            <w:proofErr w:type="spellEnd"/>
            <w:r w:rsidRPr="008A67C3">
              <w:rPr>
                <w:rFonts w:ascii="Arial" w:hAnsi="Arial" w:cs="Arial"/>
                <w:sz w:val="20"/>
                <w:szCs w:val="20"/>
                <w:lang w:val="lt-LT"/>
              </w:rPr>
              <w:t>, veikiančios pagal bendrijos įstatus</w:t>
            </w:r>
          </w:p>
        </w:tc>
      </w:tr>
      <w:tr w:rsidR="00D3366A" w:rsidRPr="00093B9E" w14:paraId="7D39C5A7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62943" w14:textId="7E10E7B7" w:rsidR="00D3366A" w:rsidRPr="00093B9E" w:rsidRDefault="00D3366A" w:rsidP="000C31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</w:tr>
      <w:tr w:rsidR="00D3366A" w:rsidRPr="00093B9E" w14:paraId="6A4863B3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49DD8" w14:textId="06E1BA0D" w:rsidR="00D3366A" w:rsidRPr="00093B9E" w:rsidRDefault="00D3366A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ir</w:t>
            </w:r>
          </w:p>
        </w:tc>
      </w:tr>
      <w:tr w:rsidR="00D3366A" w:rsidRPr="00093B9E" w14:paraId="2B19DB25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DC276" w14:textId="77777777" w:rsidR="00D3366A" w:rsidRPr="00093B9E" w:rsidRDefault="00D3366A" w:rsidP="000C31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</w:tr>
      <w:tr w:rsidR="00D3366A" w:rsidRPr="00093B9E" w14:paraId="13EE818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3A99C" w14:textId="657E53FD" w:rsidR="00D3366A" w:rsidRPr="00093B9E" w:rsidRDefault="00D3366A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[</w:t>
            </w:r>
            <w:r w:rsidR="00720F47" w:rsidRPr="0015632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lt-LT"/>
              </w:rPr>
              <w:t>Vardas Pavardė</w:t>
            </w: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]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, gimimo data [</w:t>
            </w: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__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], gyvenan</w:t>
            </w:r>
            <w:r w:rsidR="00165C55">
              <w:rPr>
                <w:rFonts w:ascii="Arial" w:hAnsi="Arial" w:cs="Arial"/>
                <w:sz w:val="20"/>
                <w:szCs w:val="20"/>
                <w:lang w:val="lt-LT"/>
              </w:rPr>
              <w:t>tis</w:t>
            </w:r>
            <w:r w:rsidR="00720F47">
              <w:rPr>
                <w:rFonts w:ascii="Arial" w:hAnsi="Arial" w:cs="Arial"/>
                <w:sz w:val="20"/>
                <w:szCs w:val="20"/>
                <w:lang w:val="lt-LT"/>
              </w:rPr>
              <w:t>(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-</w:t>
            </w:r>
            <w:r w:rsidR="00165C55">
              <w:rPr>
                <w:rFonts w:ascii="Arial" w:hAnsi="Arial" w:cs="Arial"/>
                <w:sz w:val="20"/>
                <w:szCs w:val="20"/>
                <w:lang w:val="lt-LT"/>
              </w:rPr>
              <w:t>i</w:t>
            </w:r>
            <w:r w:rsidR="00720F47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[</w:t>
            </w:r>
            <w:r w:rsidR="00720F47"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adresas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], Lietuvos Respublika (toliau – </w:t>
            </w: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Klientas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  <w:r w:rsidR="00C202F9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D3366A" w:rsidRPr="00093B9E" w14:paraId="5FC84C6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2B78D" w14:textId="77777777" w:rsidR="00D3366A" w:rsidRPr="00093B9E" w:rsidRDefault="00D3366A" w:rsidP="000C31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</w:tr>
      <w:tr w:rsidR="00D3366A" w:rsidRPr="00093B9E" w14:paraId="36C5D92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5143A" w14:textId="1006C282" w:rsidR="00D3366A" w:rsidRPr="00093B9E" w:rsidRDefault="00D3366A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Toliau šioje sutartyje Studija ir Klientas kartu gali būti vadinami </w:t>
            </w: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Šalimis</w:t>
            </w:r>
            <w:r w:rsidR="009B6210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, o kiekviena atskirai – </w:t>
            </w:r>
            <w:r w:rsidR="009B6210"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Šalimi</w:t>
            </w:r>
            <w:r w:rsidR="009B6210"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D3366A" w:rsidRPr="00093B9E" w14:paraId="6776626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7AAF5" w14:textId="77777777" w:rsidR="00D3366A" w:rsidRPr="00093B9E" w:rsidRDefault="00D3366A" w:rsidP="000C31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</w:tr>
      <w:tr w:rsidR="00D3366A" w:rsidRPr="00093B9E" w14:paraId="623EC3FE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319BB" w14:textId="1EA72B65" w:rsidR="00D3366A" w:rsidRPr="00093B9E" w:rsidRDefault="00F115ED" w:rsidP="000C31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ŠALYS, ATSIŽVELGDAMOS Į TAI, KAD:</w:t>
            </w:r>
          </w:p>
        </w:tc>
      </w:tr>
      <w:tr w:rsidR="00F115ED" w:rsidRPr="00093B9E" w14:paraId="283A9EFF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FDE93" w14:textId="77777777" w:rsidR="00F115ED" w:rsidRPr="00093B9E" w:rsidRDefault="00F115ED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F115ED" w:rsidRPr="00093B9E" w14:paraId="4E93A03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A1E5" w14:textId="5077482D" w:rsidR="00F115ED" w:rsidRPr="00093B9E" w:rsidRDefault="00F115ED" w:rsidP="000C3190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Tarp Šalių yra sudaryta [</w:t>
            </w:r>
            <w:r w:rsidR="00720F47"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data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] sporto paslaugų teikimo sutartis Nr. [</w:t>
            </w: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__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] (toliau – </w:t>
            </w: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Sutartis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);</w:t>
            </w:r>
          </w:p>
        </w:tc>
      </w:tr>
      <w:tr w:rsidR="00F115ED" w:rsidRPr="00093B9E" w14:paraId="6F01F66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CCE45" w14:textId="4090412B" w:rsidR="00F115ED" w:rsidRPr="00093B9E" w:rsidRDefault="00F115ED" w:rsidP="000C3190">
            <w:pPr>
              <w:pStyle w:val="ListParagraph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F115ED" w:rsidRPr="00093B9E" w14:paraId="6696C1A8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5DAC7" w14:textId="453A86CC" w:rsidR="00F115ED" w:rsidRPr="00093B9E" w:rsidRDefault="00F115ED" w:rsidP="000C3190">
            <w:pPr>
              <w:pStyle w:val="ListParagraph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Sutarties pagrindu Studija yra įsipareigojusi Klientui suteikti Kliento pasirinktas paslaugas, o Klientas yra įsipareigojęs už suteiktas paslaugas su Studija atsiskaityti;</w:t>
            </w:r>
          </w:p>
        </w:tc>
      </w:tr>
      <w:tr w:rsidR="00F115ED" w:rsidRPr="00093B9E" w14:paraId="0F5316B3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CB545" w14:textId="77777777" w:rsidR="00F115ED" w:rsidRPr="00093B9E" w:rsidRDefault="00F115ED" w:rsidP="000C3190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F115ED" w:rsidRPr="00093B9E" w14:paraId="2487F85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8844B" w14:textId="195A1A1F" w:rsidR="00F115ED" w:rsidRPr="00093B9E" w:rsidRDefault="00461060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Sudarė š</w:t>
            </w:r>
            <w:r w:rsidR="00F115ED" w:rsidRPr="00093B9E">
              <w:rPr>
                <w:rFonts w:ascii="Arial" w:hAnsi="Arial" w:cs="Arial"/>
                <w:sz w:val="20"/>
                <w:szCs w:val="20"/>
                <w:lang w:val="lt-LT"/>
              </w:rPr>
              <w:t>i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ą</w:t>
            </w:r>
            <w:r w:rsidR="00F115ED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narystės sutartį (</w:t>
            </w:r>
            <w:r w:rsidR="00165C55">
              <w:rPr>
                <w:rFonts w:ascii="Arial" w:hAnsi="Arial" w:cs="Arial"/>
                <w:sz w:val="20"/>
                <w:szCs w:val="20"/>
                <w:lang w:val="lt-LT"/>
              </w:rPr>
              <w:t xml:space="preserve">toliau – </w:t>
            </w: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Narystės sutartis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), kuria</w:t>
            </w:r>
            <w:r w:rsidR="00F115ED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atskirai susitaria dėl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Klientui teikiamų paslaugų plano, </w:t>
            </w:r>
            <w:r w:rsidR="00F115ED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Sutarties apmokėjimo </w:t>
            </w:r>
            <w:r w:rsidR="00BA626C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sąlygų ir </w:t>
            </w:r>
            <w:r w:rsidR="00F115ED" w:rsidRPr="00093B9E">
              <w:rPr>
                <w:rFonts w:ascii="Arial" w:hAnsi="Arial" w:cs="Arial"/>
                <w:sz w:val="20"/>
                <w:szCs w:val="20"/>
                <w:lang w:val="lt-LT"/>
              </w:rPr>
              <w:t>tvarkos</w:t>
            </w:r>
            <w:r w:rsidR="00BA626C"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BA626C" w:rsidRPr="00093B9E" w14:paraId="3FFA917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85F9" w14:textId="77777777" w:rsidR="00BA626C" w:rsidRPr="00093B9E" w:rsidRDefault="00BA626C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A626C" w:rsidRPr="00093B9E" w14:paraId="4645C01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4E72E" w14:textId="549DBA5F" w:rsidR="00BA626C" w:rsidRPr="00093B9E" w:rsidRDefault="00BA626C" w:rsidP="000C3190">
            <w:pPr>
              <w:pStyle w:val="ListParagraph"/>
              <w:numPr>
                <w:ilvl w:val="0"/>
                <w:numId w:val="4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</w:t>
            </w:r>
          </w:p>
        </w:tc>
      </w:tr>
      <w:tr w:rsidR="00BA626C" w:rsidRPr="00093B9E" w14:paraId="52D0AA0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C3958" w14:textId="369C1FCD" w:rsidR="00BA626C" w:rsidRPr="00093B9E" w:rsidRDefault="00BA626C" w:rsidP="000C3190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61060" w:rsidRPr="00093B9E" w14:paraId="1F46A7C5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4F5CE" w14:textId="407641D9" w:rsidR="00461060" w:rsidRPr="00093B9E" w:rsidRDefault="00461060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Sudarydamas Narystės sutartį Klientas yra išsirinkęs vieną iš Studijos siūlomų paslaugų paketų (narysčių) ir Narystės sutartį sudaro dėl </w:t>
            </w:r>
            <w:r w:rsidR="005A04F9" w:rsidRPr="00093B9E">
              <w:rPr>
                <w:rFonts w:ascii="Arial" w:hAnsi="Arial" w:cs="Arial"/>
                <w:sz w:val="20"/>
                <w:szCs w:val="20"/>
                <w:lang w:val="lt-LT"/>
              </w:rPr>
              <w:t>[</w:t>
            </w:r>
            <w:r w:rsidR="005A04F9" w:rsidRPr="005A04F9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lt-LT"/>
              </w:rPr>
              <w:t>nurodyti kokio</w:t>
            </w:r>
            <w:r w:rsidR="005A04F9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]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paslaugų paketo (</w:t>
            </w:r>
            <w:r w:rsidR="00165C55">
              <w:rPr>
                <w:rFonts w:ascii="Arial" w:hAnsi="Arial" w:cs="Arial"/>
                <w:sz w:val="20"/>
                <w:szCs w:val="20"/>
                <w:lang w:val="lt-LT"/>
              </w:rPr>
              <w:t>toliau</w:t>
            </w:r>
            <w:r w:rsidR="00D56F94">
              <w:rPr>
                <w:rFonts w:ascii="Arial" w:hAnsi="Arial" w:cs="Arial"/>
                <w:sz w:val="20"/>
                <w:szCs w:val="20"/>
                <w:lang w:val="lt-LT"/>
              </w:rPr>
              <w:t> – </w:t>
            </w:r>
            <w:r w:rsidR="009959CC"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9959CC" w:rsidRPr="00093B9E" w14:paraId="272937E4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6D369" w14:textId="77777777" w:rsidR="009959CC" w:rsidRPr="00093B9E" w:rsidRDefault="009959CC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959CC" w:rsidRPr="00720F47" w14:paraId="050EFED0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B5A2B" w14:textId="22292912" w:rsidR="009959CC" w:rsidRPr="00093B9E" w:rsidRDefault="009959CC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Narystės sutartis sudaroma 1 metų laikotarpiui. Nei vienai iš Šalių aiškiai neišreiškus valios dėl Narystės sutarties nutraukimo, suėjus Narystės sutarties galiojimo terminui Narystės sutartis prasitęsia dar 1 metų laikotarpiui.</w:t>
            </w:r>
          </w:p>
        </w:tc>
      </w:tr>
      <w:tr w:rsidR="00461060" w:rsidRPr="00720F47" w14:paraId="1A76D7AC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FBB4" w14:textId="77777777" w:rsidR="00461060" w:rsidRPr="00093B9E" w:rsidRDefault="00461060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A626C" w:rsidRPr="00720F47" w14:paraId="08D715D0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4023F" w14:textId="1635A5FC" w:rsidR="00BA626C" w:rsidRPr="00093B9E" w:rsidRDefault="00BA626C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Šalims sudarius Narystės sutartį, Klientas įgyja teisę lankytis Studijos patalpose, esančiose adresu </w:t>
            </w:r>
            <w:proofErr w:type="spellStart"/>
            <w:r w:rsidR="00FA325C">
              <w:rPr>
                <w:rFonts w:ascii="Arial" w:hAnsi="Arial" w:cs="Arial"/>
                <w:sz w:val="20"/>
                <w:szCs w:val="20"/>
                <w:lang w:val="lt-LT"/>
              </w:rPr>
              <w:t>Smalininkų</w:t>
            </w:r>
            <w:proofErr w:type="spellEnd"/>
            <w:r w:rsidR="00FA325C">
              <w:rPr>
                <w:rFonts w:ascii="Arial" w:hAnsi="Arial" w:cs="Arial"/>
                <w:sz w:val="20"/>
                <w:szCs w:val="20"/>
                <w:lang w:val="lt-LT"/>
              </w:rPr>
              <w:t xml:space="preserve"> g. </w:t>
            </w:r>
            <w:r w:rsidR="00FA325C">
              <w:rPr>
                <w:rFonts w:ascii="Arial" w:hAnsi="Arial" w:cs="Arial"/>
                <w:sz w:val="20"/>
                <w:szCs w:val="20"/>
                <w:lang w:val="en-GB"/>
              </w:rPr>
              <w:t>2, Kaunas, Lietuvos Respublika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, nustatytu laiku pagal Kliento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Narystę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ir dalyvauti Studijos vykdomuose užsiėmimuose.</w:t>
            </w:r>
          </w:p>
        </w:tc>
      </w:tr>
      <w:tr w:rsidR="00BA626C" w:rsidRPr="00720F47" w14:paraId="526E0DBE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71499" w14:textId="2B6361E2" w:rsidR="00BA626C" w:rsidRPr="00093B9E" w:rsidRDefault="00BA626C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A626C" w:rsidRPr="00720F47" w14:paraId="08792A9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9F216" w14:textId="3D25719D" w:rsidR="00BA626C" w:rsidRPr="00093B9E" w:rsidRDefault="0049346E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Jeigu Klientas yra jaunesnis nei 18 metų asmuo,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sutartį Kliento vardu sudaro vienas iš Kliento atstovų pagal įstatymą ir kuris bus atsakingas už visus įsipareigojimus, kylančius iš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arystės sutarties bei Sutarties.</w:t>
            </w:r>
          </w:p>
        </w:tc>
      </w:tr>
      <w:tr w:rsidR="0049346E" w:rsidRPr="00720F47" w14:paraId="09E8DDE3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BC4C6" w14:textId="7CCFC6EF" w:rsidR="0049346E" w:rsidRPr="00093B9E" w:rsidRDefault="0049346E" w:rsidP="000C3190">
            <w:pPr>
              <w:pStyle w:val="ListParagraph"/>
              <w:ind w:left="792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7A5A7F3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CAC4B" w14:textId="4E740F2B" w:rsidR="0049346E" w:rsidRPr="00093B9E" w:rsidRDefault="0049346E" w:rsidP="000C3190">
            <w:pPr>
              <w:pStyle w:val="ListParagraph"/>
              <w:numPr>
                <w:ilvl w:val="0"/>
                <w:numId w:val="4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APMOKĖJIMAS</w:t>
            </w:r>
          </w:p>
        </w:tc>
      </w:tr>
      <w:tr w:rsidR="0049346E" w:rsidRPr="00093B9E" w14:paraId="5B572411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7272F" w14:textId="451A05A0" w:rsidR="0049346E" w:rsidRPr="00093B9E" w:rsidRDefault="0049346E" w:rsidP="000C3190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65A19FA5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5D679" w14:textId="1B67B0F6" w:rsidR="0049346E" w:rsidRPr="00093B9E" w:rsidRDefault="0049346E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Narystės mokesčiu yra laikoma suma, kurią Klientas įsipareigoja mokėti pagal Kliento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Narystę</w:t>
            </w:r>
            <w:r w:rsidR="00461060" w:rsidRPr="00093B9E">
              <w:rPr>
                <w:rFonts w:ascii="Arial" w:hAnsi="Arial" w:cs="Arial"/>
                <w:sz w:val="20"/>
                <w:szCs w:val="20"/>
                <w:lang w:val="lt-LT"/>
              </w:rPr>
              <w:t>, kurios dydis yra [</w:t>
            </w:r>
            <w:r w:rsidR="00461060"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__</w:t>
            </w:r>
            <w:r w:rsidR="00461060" w:rsidRPr="00093B9E">
              <w:rPr>
                <w:rFonts w:ascii="Arial" w:hAnsi="Arial" w:cs="Arial"/>
                <w:sz w:val="20"/>
                <w:szCs w:val="20"/>
                <w:lang w:val="lt-LT"/>
              </w:rPr>
              <w:t>] EUR (</w:t>
            </w:r>
            <w:r w:rsidR="00742024">
              <w:rPr>
                <w:rFonts w:ascii="Arial" w:hAnsi="Arial" w:cs="Arial"/>
                <w:sz w:val="20"/>
                <w:szCs w:val="20"/>
                <w:lang w:val="lt-LT"/>
              </w:rPr>
              <w:t xml:space="preserve">toliau – </w:t>
            </w:r>
            <w:r w:rsidR="00461060"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Narystės mokestis</w:t>
            </w:r>
            <w:r w:rsidR="00461060" w:rsidRPr="00093B9E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49346E" w:rsidRPr="00093B9E" w14:paraId="45CF04CF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AFB14" w14:textId="713A7414" w:rsidR="0049346E" w:rsidRPr="00093B9E" w:rsidRDefault="0049346E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4616BC1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0CA1D" w14:textId="4550E7FD" w:rsidR="0049346E" w:rsidRPr="00093B9E" w:rsidRDefault="0049346E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Narystės mokestis yra mokamas vieną kartą per mėnesį už einamąjį mėnesį, einamojo mėnesio [</w:t>
            </w: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__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] dieną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(</w:t>
            </w:r>
            <w:r w:rsidR="00742024">
              <w:rPr>
                <w:rFonts w:ascii="Arial" w:hAnsi="Arial" w:cs="Arial"/>
                <w:sz w:val="20"/>
                <w:szCs w:val="20"/>
                <w:lang w:val="lt-LT"/>
              </w:rPr>
              <w:t xml:space="preserve">toliau – </w:t>
            </w:r>
            <w:r w:rsidR="00EF0128"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Apmokėjimo diena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49346E" w:rsidRPr="00093B9E" w14:paraId="5BCED00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2BFA5" w14:textId="77777777" w:rsidR="0049346E" w:rsidRPr="00093B9E" w:rsidRDefault="0049346E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6FBE54AC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A1E70" w14:textId="2553D270" w:rsidR="0049346E" w:rsidRPr="00093B9E" w:rsidRDefault="0049346E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Narystės mokestis yra sumokamas bankiniu pavedimu, kuris nuskaičiuojamas automatiškai nuo Kliento banko sąskaitos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Apmokėjimo dieną.</w:t>
            </w:r>
          </w:p>
        </w:tc>
      </w:tr>
      <w:tr w:rsidR="0049346E" w:rsidRPr="00093B9E" w14:paraId="47F99C21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4C23" w14:textId="3F2D9A33" w:rsidR="0049346E" w:rsidRPr="00093B9E" w:rsidRDefault="0049346E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4F4257C2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30F7" w14:textId="2E2C7260" w:rsidR="0049346E" w:rsidRPr="00093B9E" w:rsidRDefault="0049346E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Klientui neatvykus į užsakytą paslaugą nustatytu laiku arba atšaukus paslaugos užsakymą likus mažiau nei 12 valandų iki užsakytos paslaugos nustatyto laiko pradžios, apmokėjimas už užsakytą paslaugą Klientui negr</w:t>
            </w:r>
            <w:r w:rsidR="009348DD">
              <w:rPr>
                <w:rFonts w:ascii="Arial" w:hAnsi="Arial" w:cs="Arial"/>
                <w:sz w:val="20"/>
                <w:szCs w:val="20"/>
                <w:lang w:val="lt-LT"/>
              </w:rPr>
              <w:t>ą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žinamas.</w:t>
            </w:r>
          </w:p>
        </w:tc>
      </w:tr>
      <w:tr w:rsidR="00ED05B8" w:rsidRPr="00093B9E" w14:paraId="1A51009E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C9D08" w14:textId="77777777" w:rsidR="00ED05B8" w:rsidRPr="00093B9E" w:rsidRDefault="00ED05B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D05B8" w:rsidRPr="00093B9E" w14:paraId="711C872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CFDAC" w14:textId="03A8B9A7" w:rsidR="00ED05B8" w:rsidRPr="00093B9E" w:rsidRDefault="00ED05B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Apmokėjimo dieną nepavykus nuskaityti Narystės mokesčio nuo Kliento banko sąskaitos, pradedami skaičiuoti 0,08 % dydžio </w:t>
            </w:r>
            <w:r w:rsidR="00EA31B9">
              <w:rPr>
                <w:rFonts w:ascii="Arial" w:hAnsi="Arial" w:cs="Arial"/>
                <w:sz w:val="20"/>
                <w:szCs w:val="20"/>
                <w:lang w:val="lt-LT"/>
              </w:rPr>
              <w:t xml:space="preserve">kompensacinės </w:t>
            </w:r>
            <w:r w:rsidR="005F6BD6">
              <w:rPr>
                <w:rFonts w:ascii="Arial" w:hAnsi="Arial" w:cs="Arial"/>
                <w:sz w:val="20"/>
                <w:szCs w:val="20"/>
                <w:lang w:val="lt-LT"/>
              </w:rPr>
              <w:t>palūkanos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, skaičiuojam</w:t>
            </w:r>
            <w:r w:rsidR="005F6BD6">
              <w:rPr>
                <w:rFonts w:ascii="Arial" w:hAnsi="Arial" w:cs="Arial"/>
                <w:sz w:val="20"/>
                <w:szCs w:val="20"/>
                <w:lang w:val="lt-LT"/>
              </w:rPr>
              <w:t>os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nuo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lastRenderedPageBreak/>
              <w:t>vėluojamos sumokėti sumos už kiekvieną pradelstą sumokėti Narystės mokestį dieną iki kol Klientas pilnai atsiskaitys su Studija.</w:t>
            </w:r>
          </w:p>
        </w:tc>
      </w:tr>
      <w:tr w:rsidR="00ED05B8" w:rsidRPr="00093B9E" w14:paraId="06B893A4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93666" w14:textId="77777777" w:rsidR="00ED05B8" w:rsidRPr="00093B9E" w:rsidRDefault="00ED05B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D05B8" w:rsidRPr="00093B9E" w14:paraId="3F2DADA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63BB7" w14:textId="2BE2E76F" w:rsidR="00ED05B8" w:rsidRPr="00093B9E" w:rsidRDefault="00ED05B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Klientui vėluojant sumokėti Narystės mokestį, Studija pasilieka teisę neteikti Klientui paslaugų pagal Narystę, iki kol Klientas pilnai neatsiskaitys su Studija.</w:t>
            </w:r>
          </w:p>
        </w:tc>
      </w:tr>
      <w:tr w:rsidR="00ED05B8" w:rsidRPr="00093B9E" w14:paraId="0AD3E57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E9C6D" w14:textId="77777777" w:rsidR="00ED05B8" w:rsidRPr="00093B9E" w:rsidRDefault="00ED05B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D05B8" w:rsidRPr="00093B9E" w14:paraId="67020008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8F529" w14:textId="15F91722" w:rsidR="00ED05B8" w:rsidRPr="00093B9E" w:rsidRDefault="00ED05B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Jeigu Narystės </w:t>
            </w:r>
            <w:r w:rsidR="009F0863" w:rsidRPr="00093B9E">
              <w:rPr>
                <w:rFonts w:ascii="Arial" w:hAnsi="Arial" w:cs="Arial"/>
                <w:sz w:val="20"/>
                <w:szCs w:val="20"/>
                <w:lang w:val="lt-LT"/>
              </w:rPr>
              <w:t>mokest</w:t>
            </w:r>
            <w:r w:rsidR="009F0863">
              <w:rPr>
                <w:rFonts w:ascii="Arial" w:hAnsi="Arial" w:cs="Arial"/>
                <w:sz w:val="20"/>
                <w:szCs w:val="20"/>
                <w:lang w:val="lt-LT"/>
              </w:rPr>
              <w:t>į Klientas</w:t>
            </w:r>
            <w:r w:rsidR="009F0863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vėluojama sumokėti daugiau nei 30 dienų, Studija turi teisę vienašališkai nutraukti Sutartį bei Narystės sutartį bei imtis teisinių priemonių dėl Kliento nevykdomos finansinės prievolės</w:t>
            </w:r>
            <w:r w:rsidR="009F0863">
              <w:rPr>
                <w:rFonts w:ascii="Arial" w:hAnsi="Arial" w:cs="Arial"/>
                <w:sz w:val="20"/>
                <w:szCs w:val="20"/>
                <w:lang w:val="lt-LT"/>
              </w:rPr>
              <w:t xml:space="preserve"> priverstinio vykdymo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49346E" w:rsidRPr="00093B9E" w14:paraId="2E3F3A72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F866" w14:textId="77777777" w:rsidR="0049346E" w:rsidRPr="00093B9E" w:rsidRDefault="0049346E" w:rsidP="000C3190">
            <w:pPr>
              <w:pStyle w:val="ListParagraph"/>
              <w:ind w:left="792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566168D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96055" w14:textId="4038C712" w:rsidR="0049346E" w:rsidRPr="00093B9E" w:rsidRDefault="0049346E" w:rsidP="000C3190">
            <w:pPr>
              <w:pStyle w:val="ListParagraph"/>
              <w:numPr>
                <w:ilvl w:val="0"/>
                <w:numId w:val="4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NARYSTĖS KEITIMAS</w:t>
            </w:r>
          </w:p>
        </w:tc>
      </w:tr>
      <w:tr w:rsidR="0049346E" w:rsidRPr="00093B9E" w14:paraId="03FF3F3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DF9D" w14:textId="58EF0D8A" w:rsidR="0049346E" w:rsidRPr="00093B9E" w:rsidRDefault="0049346E" w:rsidP="000C3190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9346E" w:rsidRPr="00093B9E" w14:paraId="3A11D397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2F63" w14:textId="6CFDB51A" w:rsidR="0049346E" w:rsidRPr="00093B9E" w:rsidRDefault="00F12527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Klientas, norėdamas pakeisti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Narystę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, likus ne mažiau kaip </w:t>
            </w:r>
            <w:r w:rsidR="00E03940">
              <w:rPr>
                <w:rFonts w:ascii="Arial" w:hAnsi="Arial" w:cs="Arial"/>
                <w:sz w:val="20"/>
                <w:szCs w:val="20"/>
                <w:lang w:val="lt-LT"/>
              </w:rPr>
              <w:t>5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darbo dienoms iki 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>A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pmokėjimo dienos turi kreiptis su prašymu į Studijos administraciją.</w:t>
            </w:r>
          </w:p>
        </w:tc>
      </w:tr>
      <w:tr w:rsidR="00F12527" w:rsidRPr="00093B9E" w14:paraId="4A908A5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305C0" w14:textId="505ECA3B" w:rsidR="00F12527" w:rsidRPr="00093B9E" w:rsidRDefault="00F12527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F12527" w:rsidRPr="00093B9E" w14:paraId="05C0CC00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EFCB1" w14:textId="0A636A6C" w:rsidR="00F12527" w:rsidRPr="00093B9E" w:rsidRDefault="00F12527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Studijos administracija, atsižvelgdama į Kliento prašymą, pakeis Kliento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Narystę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, kuri įsigalios nuo 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>A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pmokėjimo dienos.</w:t>
            </w:r>
          </w:p>
        </w:tc>
      </w:tr>
      <w:tr w:rsidR="007C3976" w:rsidRPr="00093B9E" w14:paraId="575461E3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63321" w14:textId="77777777" w:rsidR="007C3976" w:rsidRPr="00093B9E" w:rsidRDefault="007C3976" w:rsidP="0015632E">
            <w:p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7C3976" w:rsidRPr="00093B9E" w14:paraId="372F727F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53D5A" w14:textId="71620CC9" w:rsidR="007C3976" w:rsidRPr="00093B9E" w:rsidRDefault="007C3976" w:rsidP="003C00EA">
            <w:pPr>
              <w:pStyle w:val="ListParagraph"/>
              <w:numPr>
                <w:ilvl w:val="0"/>
                <w:numId w:val="4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NARYSTĖS SUSTABDYMAS</w:t>
            </w:r>
          </w:p>
        </w:tc>
      </w:tr>
      <w:tr w:rsidR="007C3976" w:rsidRPr="00093B9E" w14:paraId="3D15E91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4B8E5" w14:textId="77777777" w:rsidR="007C3976" w:rsidRPr="00093B9E" w:rsidRDefault="007C3976" w:rsidP="0015632E">
            <w:pPr>
              <w:pStyle w:val="ListParagraph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7C3976" w:rsidRPr="00093B9E" w14:paraId="246D249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6B7FC" w14:textId="33F1B6B9" w:rsidR="007C3976" w:rsidRPr="00093B9E" w:rsidRDefault="007C3976" w:rsidP="0015632E">
            <w:pPr>
              <w:pStyle w:val="ListParagraph"/>
              <w:numPr>
                <w:ilvl w:val="1"/>
                <w:numId w:val="4"/>
              </w:num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Studija suteikia galimybę Klientui stabdyti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sutartį </w:t>
            </w:r>
            <w:r w:rsidR="00DA6579" w:rsidRPr="00093B9E">
              <w:rPr>
                <w:rFonts w:ascii="Arial" w:hAnsi="Arial" w:cs="Arial"/>
                <w:sz w:val="20"/>
                <w:szCs w:val="20"/>
                <w:lang w:val="lt-LT"/>
              </w:rPr>
              <w:t>ne trumpesniam kaip 30 dienų ir ne ilgesniam kaip 90 dienų terminui.</w:t>
            </w:r>
          </w:p>
        </w:tc>
      </w:tr>
      <w:tr w:rsidR="00DA6579" w:rsidRPr="00093B9E" w14:paraId="4CD8EAB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3B523" w14:textId="77777777" w:rsidR="00DA6579" w:rsidRPr="00093B9E" w:rsidRDefault="00DA6579" w:rsidP="0015632E">
            <w:pPr>
              <w:pStyle w:val="ListParagraph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DA6579" w:rsidRPr="00093B9E" w14:paraId="2BAE29CF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3EC55" w14:textId="6A0683EE" w:rsidR="00DA6579" w:rsidRPr="00093B9E" w:rsidRDefault="00DA6579" w:rsidP="0015632E">
            <w:pPr>
              <w:pStyle w:val="ListParagraph"/>
              <w:numPr>
                <w:ilvl w:val="1"/>
                <w:numId w:val="4"/>
              </w:num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Klientas, norėdamas </w:t>
            </w:r>
            <w:r w:rsidR="00093B9E" w:rsidRPr="00093B9E">
              <w:rPr>
                <w:rFonts w:ascii="Arial" w:hAnsi="Arial" w:cs="Arial"/>
                <w:sz w:val="20"/>
                <w:szCs w:val="20"/>
                <w:lang w:val="lt-LT"/>
              </w:rPr>
              <w:t>sustabdyti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sutartį, likus ne mažiau kaip 7 dienoms iki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arystės sutarties sustabdymo dienos turi kreiptis su prašymu į Studijos administraciją.</w:t>
            </w:r>
          </w:p>
        </w:tc>
      </w:tr>
      <w:tr w:rsidR="00461060" w:rsidRPr="00093B9E" w14:paraId="01C6E734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A42F0" w14:textId="77777777" w:rsidR="00461060" w:rsidRPr="00093B9E" w:rsidRDefault="00461060" w:rsidP="0015632E">
            <w:pPr>
              <w:pStyle w:val="ListParagraph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461060" w:rsidRPr="00093B9E" w14:paraId="30878DF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2A744" w14:textId="75B05CF4" w:rsidR="00461060" w:rsidRPr="00093B9E" w:rsidRDefault="00461060" w:rsidP="0015632E">
            <w:pPr>
              <w:pStyle w:val="ListParagraph"/>
              <w:numPr>
                <w:ilvl w:val="1"/>
                <w:numId w:val="4"/>
              </w:num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Prašymas dėl </w:t>
            </w:r>
            <w:r w:rsidR="009959CC"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sutarties sustabdymo turi būti pateiktas tinkamos formos, kuri yra prieinama </w:t>
            </w:r>
            <w:r w:rsidR="000D315E">
              <w:rPr>
                <w:rFonts w:ascii="Arial" w:hAnsi="Arial" w:cs="Arial"/>
                <w:sz w:val="20"/>
                <w:szCs w:val="20"/>
                <w:lang w:val="lt-LT"/>
              </w:rPr>
              <w:t>Studijos interneto svetainėje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: [</w:t>
            </w: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__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]</w:t>
            </w:r>
            <w:r w:rsidR="009615C5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DA6579" w:rsidRPr="00093B9E" w14:paraId="1A53657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0D836" w14:textId="77777777" w:rsidR="00DA6579" w:rsidRPr="00093B9E" w:rsidRDefault="00DA6579" w:rsidP="0015632E">
            <w:pPr>
              <w:pStyle w:val="ListParagraph"/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DA6579" w:rsidRPr="00093B9E" w14:paraId="3CD41824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4CE88" w14:textId="4AEA73B8" w:rsidR="00DA6579" w:rsidRPr="00093B9E" w:rsidRDefault="009959CC" w:rsidP="0015632E">
            <w:pPr>
              <w:pStyle w:val="ListParagraph"/>
              <w:numPr>
                <w:ilvl w:val="1"/>
                <w:numId w:val="4"/>
              </w:numPr>
              <w:ind w:left="567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="00DA6579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sutarties sustabdymo laikotarpiu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="00DA6579" w:rsidRPr="00093B9E">
              <w:rPr>
                <w:rFonts w:ascii="Arial" w:hAnsi="Arial" w:cs="Arial"/>
                <w:sz w:val="20"/>
                <w:szCs w:val="20"/>
                <w:lang w:val="lt-LT"/>
              </w:rPr>
              <w:t>arystės mokestis nėra mokamas</w:t>
            </w:r>
            <w:r w:rsidR="00461060"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, tačiau prieš sustabdant 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="00461060" w:rsidRPr="00093B9E">
              <w:rPr>
                <w:rFonts w:ascii="Arial" w:hAnsi="Arial" w:cs="Arial"/>
                <w:sz w:val="20"/>
                <w:szCs w:val="20"/>
                <w:lang w:val="lt-LT"/>
              </w:rPr>
              <w:t>arystės sutartį yra taikomas vi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enkartinis </w:t>
            </w: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negrąžinamas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Narystės mokesčio dydžio mokėjimas, kuris vėliau bus įskaitytas kaip Narystės mokestis už laikotarpį po Narystės sustabdymo arba kitoms Kliento prieš Studiją turimoms finansinėms prievolėms įvykdyti.</w:t>
            </w:r>
          </w:p>
        </w:tc>
      </w:tr>
      <w:tr w:rsidR="00F12527" w:rsidRPr="00093B9E" w14:paraId="7E68437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93F0" w14:textId="77777777" w:rsidR="00F12527" w:rsidRPr="00093B9E" w:rsidRDefault="00F12527" w:rsidP="000C3190">
            <w:pPr>
              <w:pStyle w:val="ListParagraph"/>
              <w:ind w:left="792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F12527" w:rsidRPr="00093B9E" w14:paraId="345F9AA2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3FEB7" w14:textId="4EA6E61A" w:rsidR="00F12527" w:rsidRPr="00093B9E" w:rsidRDefault="00F12527" w:rsidP="000C3190">
            <w:pPr>
              <w:pStyle w:val="ListParagraph"/>
              <w:numPr>
                <w:ilvl w:val="0"/>
                <w:numId w:val="4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NARYSTĖS NUTRAUKIMAS</w:t>
            </w:r>
          </w:p>
        </w:tc>
      </w:tr>
      <w:tr w:rsidR="00F12527" w:rsidRPr="00093B9E" w14:paraId="048632E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321D9" w14:textId="77777777" w:rsidR="00F12527" w:rsidRPr="00093B9E" w:rsidRDefault="00F12527" w:rsidP="000C3190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F12527" w:rsidRPr="00093B9E" w14:paraId="02BE05C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89E7" w14:textId="3D91C6A5" w:rsidR="00F12527" w:rsidRPr="00093B9E" w:rsidRDefault="00CF117C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Klientas, norėdamas nutraukti </w:t>
            </w:r>
            <w:r w:rsidR="002F26F9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sutartį, likus ne mažiau kaip </w:t>
            </w:r>
            <w:r w:rsidR="006723B2">
              <w:rPr>
                <w:rFonts w:ascii="Arial" w:hAnsi="Arial" w:cs="Arial"/>
                <w:sz w:val="20"/>
                <w:szCs w:val="20"/>
                <w:lang w:val="lt-LT"/>
              </w:rPr>
              <w:t>5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darbo dienoms iki 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>A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pmokėjimo dienos turi kreiptis su prašymu į Studijos administraciją</w:t>
            </w:r>
            <w:r w:rsidR="00EF0128" w:rsidRPr="00093B9E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EF0128" w:rsidRPr="00093B9E" w14:paraId="1B1DA840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A647B" w14:textId="77777777" w:rsidR="00EF0128" w:rsidRPr="00093B9E" w:rsidRDefault="00EF012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F0128" w:rsidRPr="00093B9E" w14:paraId="577FCD01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7AC0A" w14:textId="0D40B181" w:rsidR="00EF0128" w:rsidRPr="00093B9E" w:rsidRDefault="00EF012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Prašymas dėl </w:t>
            </w:r>
            <w:r w:rsidR="002F26F9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sutarties nutraukimo turi būti pateiktas tinkamos formos, kuri yra prieinama </w:t>
            </w:r>
            <w:r w:rsidR="002F26F9">
              <w:rPr>
                <w:rFonts w:ascii="Arial" w:hAnsi="Arial" w:cs="Arial"/>
                <w:sz w:val="20"/>
                <w:szCs w:val="20"/>
                <w:lang w:val="lt-LT"/>
              </w:rPr>
              <w:t>Studijos interneto svetainėje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: [</w:t>
            </w:r>
            <w:r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__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]</w:t>
            </w:r>
            <w:r w:rsidR="009615C5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EF0128" w:rsidRPr="00093B9E" w14:paraId="1188CE01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C4E7" w14:textId="6B4ABB58" w:rsidR="00EF0128" w:rsidRPr="00093B9E" w:rsidRDefault="00EF012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F0128" w:rsidRPr="00093B9E" w14:paraId="798E8329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EDFDA" w14:textId="36D76B1D" w:rsidR="00EF0128" w:rsidRPr="00093B9E" w:rsidRDefault="00EF012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Tinkamai ir laiku pateikus prašymą dėl </w:t>
            </w:r>
            <w:r w:rsidR="002F26F9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sutarties nutraukimo, </w:t>
            </w:r>
            <w:r w:rsidR="002F26F9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arystės sutartis bus laikoma nutraukta nuo Apmokėjimo dienos.</w:t>
            </w:r>
          </w:p>
        </w:tc>
      </w:tr>
      <w:tr w:rsidR="00EF0128" w:rsidRPr="00093B9E" w14:paraId="34ED089C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63006" w14:textId="78815B43" w:rsidR="00EF0128" w:rsidRPr="00093B9E" w:rsidRDefault="00EF012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F0128" w:rsidRPr="00093B9E" w14:paraId="17F6F77E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D9CD9" w14:textId="2C74DD10" w:rsidR="00EF0128" w:rsidRPr="00093B9E" w:rsidRDefault="00EF012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Po prašymo nutraukti </w:t>
            </w:r>
            <w:r w:rsidR="002F26F9">
              <w:rPr>
                <w:rFonts w:ascii="Arial" w:hAnsi="Arial" w:cs="Arial"/>
                <w:sz w:val="20"/>
                <w:szCs w:val="20"/>
                <w:lang w:val="lt-LT"/>
              </w:rPr>
              <w:t>N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arystės sutartį pateikimo dienos Klientas </w:t>
            </w:r>
            <w:r w:rsidR="007C3976" w:rsidRPr="00093B9E">
              <w:rPr>
                <w:rFonts w:ascii="Arial" w:hAnsi="Arial" w:cs="Arial"/>
                <w:sz w:val="20"/>
                <w:szCs w:val="20"/>
                <w:lang w:val="lt-LT"/>
              </w:rPr>
              <w:t>iki Apmokėjimo dienos gali naudotis visomis Studijos teikiamomis Kliento užsakytomis paslaugomis.</w:t>
            </w:r>
          </w:p>
        </w:tc>
      </w:tr>
      <w:tr w:rsidR="009959CC" w:rsidRPr="00093B9E" w14:paraId="0914CA65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5DF4F" w14:textId="77777777" w:rsidR="009959CC" w:rsidRPr="00093B9E" w:rsidRDefault="009959CC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959CC" w:rsidRPr="00093B9E" w14:paraId="10821B4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C8EE1" w14:textId="689DA17A" w:rsidR="009959CC" w:rsidRPr="00093B9E" w:rsidRDefault="009959CC" w:rsidP="000C3190">
            <w:pPr>
              <w:pStyle w:val="ListParagraph"/>
              <w:numPr>
                <w:ilvl w:val="0"/>
                <w:numId w:val="4"/>
              </w:numPr>
              <w:ind w:left="567" w:hanging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KITOS NUOSTATOS</w:t>
            </w:r>
          </w:p>
        </w:tc>
      </w:tr>
      <w:tr w:rsidR="009959CC" w:rsidRPr="00093B9E" w14:paraId="2E7E9B92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89CA8" w14:textId="77777777" w:rsidR="009959CC" w:rsidRPr="00093B9E" w:rsidRDefault="009959CC" w:rsidP="000C3190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959CC" w:rsidRPr="00093B9E" w14:paraId="58ED7F54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67544" w14:textId="7B99D9D4" w:rsidR="009959CC" w:rsidRPr="00093B9E" w:rsidRDefault="00ED05B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Narystės sutartis yra </w:t>
            </w:r>
            <w:r w:rsidR="00093B9E" w:rsidRPr="00093B9E">
              <w:rPr>
                <w:rFonts w:ascii="Arial" w:hAnsi="Arial" w:cs="Arial"/>
                <w:sz w:val="20"/>
                <w:szCs w:val="20"/>
                <w:lang w:val="lt-LT"/>
              </w:rPr>
              <w:t>neatsiejama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 Sutarties dalis. Narystės sutarties nuostatos turi būti aiškinamos kartu su Sutarties nuostatomis. Esant neatitikimams tarp Sutarties ir Narystės sutarties nuostatų, pirmenybė teikiama Sutarties nuostatoms.</w:t>
            </w:r>
          </w:p>
        </w:tc>
      </w:tr>
      <w:tr w:rsidR="00ED05B8" w:rsidRPr="00093B9E" w14:paraId="1D40B71B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1E27" w14:textId="77777777" w:rsidR="00ED05B8" w:rsidRPr="00093B9E" w:rsidRDefault="00ED05B8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ED05B8" w:rsidRPr="00093B9E" w14:paraId="198DC7CA" w14:textId="77777777" w:rsidTr="006F780B">
        <w:trPr>
          <w:trHeight w:val="19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90912" w14:textId="592293DE" w:rsidR="00ED05B8" w:rsidRPr="00093B9E" w:rsidRDefault="00ED05B8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Jeigu bet kuri iš Narystės sutarties nuostatų yra pripažįstama negaliojančia, tai nėra pagrindas vertinti, kad Narystės sutartis yra negaliojanti, o Narystės sutartis turi būti aiškinama be negaliojančia pripažintos nuostatos.</w:t>
            </w:r>
          </w:p>
        </w:tc>
      </w:tr>
      <w:tr w:rsidR="009B6210" w:rsidRPr="00093B9E" w14:paraId="4C46784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18274" w14:textId="0B18D0AD" w:rsidR="009B6210" w:rsidRPr="00093B9E" w:rsidRDefault="009B6210" w:rsidP="0015632E">
            <w:p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720F47" w14:paraId="47D857CA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D5090" w14:textId="0415E7F5" w:rsidR="009B6210" w:rsidRPr="00093B9E" w:rsidRDefault="009B6210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lastRenderedPageBreak/>
              <w:t>Visi tarp Šalių dėl Sutarties ar Narystės sutarties kilę ginčai yra sprendžiami derybų būdu. Šalims nepavykus kilusio ginčo išspręsti taikiai, tarp Šalių kilę ginčai yra sprendžiami teismine tvarka</w:t>
            </w:r>
            <w:r w:rsidR="009E7B0F">
              <w:rPr>
                <w:rFonts w:ascii="Arial" w:hAnsi="Arial" w:cs="Arial"/>
                <w:sz w:val="20"/>
                <w:szCs w:val="20"/>
                <w:lang w:val="lt-LT"/>
              </w:rPr>
              <w:t xml:space="preserve"> Kauno miesto apylinkės teismo Kauno rūmuose</w:t>
            </w:r>
            <w:r w:rsidR="009615C5">
              <w:rPr>
                <w:rFonts w:ascii="Arial" w:hAnsi="Arial" w:cs="Arial"/>
                <w:sz w:val="20"/>
                <w:szCs w:val="20"/>
                <w:lang w:val="lt-LT"/>
              </w:rPr>
              <w:t>.</w:t>
            </w:r>
          </w:p>
        </w:tc>
      </w:tr>
      <w:tr w:rsidR="00BD5F13" w:rsidRPr="00720F47" w14:paraId="14BC36A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18BC8" w14:textId="77777777" w:rsidR="00BD5F13" w:rsidRPr="00093B9E" w:rsidRDefault="00BD5F13" w:rsidP="00BD5F13">
            <w:pPr>
              <w:pStyle w:val="ListParagraph"/>
              <w:ind w:left="595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BD5F13" w:rsidRPr="00720F47" w14:paraId="607AE27D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437BB" w14:textId="07503899" w:rsidR="00BD5F13" w:rsidRPr="00093B9E" w:rsidRDefault="00BD5F13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Vartojimo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ginčų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neteisminio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sprendimo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subjektas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, kuris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yra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kompetentingas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spręsti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vartojimo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ginčus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kylančius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iš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Sutarties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Narystės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sutarties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yra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Valstybinė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vartotojų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teisių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apsaugos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tarnyba</w:t>
            </w:r>
            <w:proofErr w:type="spellEnd"/>
            <w:r w:rsidR="004373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373EE">
              <w:rPr>
                <w:rFonts w:ascii="Arial" w:hAnsi="Arial" w:cs="Arial"/>
                <w:sz w:val="20"/>
                <w:szCs w:val="20"/>
              </w:rPr>
              <w:t>juridinio</w:t>
            </w:r>
            <w:proofErr w:type="spellEnd"/>
            <w:r w:rsidR="004373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73EE">
              <w:rPr>
                <w:rFonts w:ascii="Arial" w:hAnsi="Arial" w:cs="Arial"/>
                <w:sz w:val="20"/>
                <w:szCs w:val="20"/>
              </w:rPr>
              <w:t>asmens</w:t>
            </w:r>
            <w:proofErr w:type="spellEnd"/>
            <w:r w:rsidR="004373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73EE">
              <w:rPr>
                <w:rFonts w:ascii="Arial" w:hAnsi="Arial" w:cs="Arial"/>
                <w:sz w:val="20"/>
                <w:szCs w:val="20"/>
              </w:rPr>
              <w:t>kodas</w:t>
            </w:r>
            <w:proofErr w:type="spellEnd"/>
            <w:r w:rsidR="00437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88E" w:rsidRPr="00B8288E">
              <w:rPr>
                <w:rFonts w:ascii="Arial" w:hAnsi="Arial" w:cs="Arial"/>
                <w:sz w:val="20"/>
                <w:szCs w:val="20"/>
              </w:rPr>
              <w:t>188770044</w:t>
            </w:r>
            <w:r w:rsidR="00B828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adresas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Vilniaus g. 25, Vilnius,</w:t>
            </w:r>
            <w:r w:rsidR="00B8288E">
              <w:rPr>
                <w:rFonts w:ascii="Arial" w:hAnsi="Arial" w:cs="Arial"/>
                <w:sz w:val="20"/>
                <w:szCs w:val="20"/>
              </w:rPr>
              <w:t xml:space="preserve"> Lietuvos Respublika, </w:t>
            </w:r>
            <w:proofErr w:type="spellStart"/>
            <w:r w:rsidR="00B8288E">
              <w:rPr>
                <w:rFonts w:ascii="Arial" w:hAnsi="Arial" w:cs="Arial"/>
                <w:sz w:val="20"/>
                <w:szCs w:val="20"/>
              </w:rPr>
              <w:t>telefono</w:t>
            </w:r>
            <w:proofErr w:type="spellEnd"/>
            <w:r w:rsidR="00B828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288E">
              <w:rPr>
                <w:rFonts w:ascii="Arial" w:hAnsi="Arial" w:cs="Arial"/>
                <w:sz w:val="20"/>
                <w:szCs w:val="20"/>
              </w:rPr>
              <w:t>numeris</w:t>
            </w:r>
            <w:proofErr w:type="spellEnd"/>
            <w:r w:rsidR="00B82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88E">
              <w:rPr>
                <w:rFonts w:ascii="Arial" w:hAnsi="Arial" w:cs="Arial"/>
                <w:sz w:val="20"/>
                <w:szCs w:val="20"/>
                <w:lang w:val="en-GB"/>
              </w:rPr>
              <w:t>+370</w:t>
            </w:r>
            <w:r w:rsidRPr="00637913">
              <w:rPr>
                <w:rFonts w:ascii="Arial" w:hAnsi="Arial" w:cs="Arial"/>
                <w:sz w:val="20"/>
                <w:szCs w:val="20"/>
              </w:rPr>
              <w:t xml:space="preserve"> 262 6751, el. </w:t>
            </w:r>
            <w:r w:rsidR="00B8288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astas </w:t>
            </w:r>
            <w:hyperlink r:id="rId8" w:history="1">
              <w:r w:rsidRPr="005B2CCB">
                <w:rPr>
                  <w:rStyle w:val="Hyperlink"/>
                  <w:rFonts w:ascii="Arial" w:hAnsi="Arial" w:cs="Arial"/>
                  <w:sz w:val="20"/>
                  <w:szCs w:val="20"/>
                </w:rPr>
                <w:t>tarnyba@vvtat.lt</w:t>
              </w:r>
            </w:hyperlink>
            <w:r w:rsidR="00081B18">
              <w:rPr>
                <w:rFonts w:ascii="Arial" w:hAnsi="Arial" w:cs="Arial"/>
                <w:sz w:val="20"/>
                <w:szCs w:val="20"/>
              </w:rPr>
              <w:t>,</w:t>
            </w:r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interneto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svetainės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adresas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5B2CC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http://www.vvtat.lt</w:t>
              </w:r>
            </w:hyperlink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913">
              <w:rPr>
                <w:rFonts w:ascii="Arial" w:hAnsi="Arial" w:cs="Arial"/>
                <w:sz w:val="20"/>
                <w:szCs w:val="20"/>
              </w:rPr>
              <w:t>arba</w:t>
            </w:r>
            <w:proofErr w:type="spellEnd"/>
            <w:r w:rsidRPr="0063791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5B2CC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http://ec.europa.eu/odr/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6210" w:rsidRPr="00720F47" w14:paraId="2DE7D467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EED70" w14:textId="77777777" w:rsidR="009B6210" w:rsidRPr="00093B9E" w:rsidRDefault="009B6210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720F47" w14:paraId="5FB8CA72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6A872" w14:textId="704CD3B8" w:rsidR="009B6210" w:rsidRPr="00093B9E" w:rsidRDefault="009B6210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Šalys patvirtina, kad visos Narystės sutarties nuostatos joms yra išaiškintos ir suprantamos, o Narystės sutartis sudaryta laisva Šalių valia.</w:t>
            </w:r>
          </w:p>
        </w:tc>
      </w:tr>
      <w:tr w:rsidR="009B6210" w:rsidRPr="00720F47" w14:paraId="3688C406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539D6" w14:textId="77777777" w:rsidR="009B6210" w:rsidRPr="00093B9E" w:rsidRDefault="009B6210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720F47" w14:paraId="131BF66C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D4924" w14:textId="79CF4F2F" w:rsidR="009B6210" w:rsidRPr="00093B9E" w:rsidRDefault="009B6210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Narystės sutartis yra sudaryta dviem vienodos teisinės galios egzemplioriais lietuvių kalba, iš kurių po vieną tenka kiekvienai Šaliai.</w:t>
            </w:r>
          </w:p>
        </w:tc>
      </w:tr>
      <w:tr w:rsidR="009B6210" w:rsidRPr="00720F47" w14:paraId="00AB23CE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025EA" w14:textId="77777777" w:rsidR="009B6210" w:rsidRPr="00093B9E" w:rsidRDefault="009B6210" w:rsidP="0015632E">
            <w:pPr>
              <w:pStyle w:val="ListParagraph"/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720F47" w14:paraId="77E15C59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88489" w14:textId="3FCA7B08" w:rsidR="009B6210" w:rsidRPr="00093B9E" w:rsidRDefault="009B6210" w:rsidP="0015632E">
            <w:pPr>
              <w:pStyle w:val="ListParagraph"/>
              <w:numPr>
                <w:ilvl w:val="1"/>
                <w:numId w:val="4"/>
              </w:numPr>
              <w:ind w:left="595" w:hanging="567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Narystės sutartis gali būti sudaroma Šalims ją pasirašant kvalifikuotu elektroniniu parašu.</w:t>
            </w:r>
          </w:p>
        </w:tc>
      </w:tr>
      <w:tr w:rsidR="009B6210" w:rsidRPr="00720F47" w14:paraId="0A7F8A91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3C529" w14:textId="77777777" w:rsidR="009B6210" w:rsidRPr="00093B9E" w:rsidRDefault="009B6210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720F47" w14:paraId="17584C49" w14:textId="77777777" w:rsidTr="000C3190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3A906" w14:textId="77777777" w:rsidR="009B6210" w:rsidRPr="00093B9E" w:rsidRDefault="009B6210" w:rsidP="000C3190">
            <w:pPr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0C3190" w:rsidRPr="00093B9E" w14:paraId="156B70D7" w14:textId="77777777" w:rsidTr="000C3190">
        <w:trPr>
          <w:trHeight w:val="243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ED61" w14:textId="4D83895E" w:rsidR="000C3190" w:rsidRPr="00093B9E" w:rsidRDefault="000C3190" w:rsidP="000C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ŠALIŲ PARAŠAI</w:t>
            </w:r>
          </w:p>
        </w:tc>
      </w:tr>
      <w:tr w:rsidR="009B6210" w:rsidRPr="00093B9E" w14:paraId="767DC13C" w14:textId="77777777" w:rsidTr="000C3190">
        <w:trPr>
          <w:trHeight w:val="23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EB472C0" w14:textId="77777777" w:rsidR="009B6210" w:rsidRPr="00093B9E" w:rsidRDefault="009B621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60CDCC1" w14:textId="553CF5F4" w:rsidR="009B6210" w:rsidRPr="00093B9E" w:rsidRDefault="009B621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093B9E" w14:paraId="140ECB4D" w14:textId="77777777" w:rsidTr="000C3190">
        <w:trPr>
          <w:trHeight w:val="23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08CD10F" w14:textId="73532F4A" w:rsidR="009B6210" w:rsidRPr="00093B9E" w:rsidRDefault="000C3190" w:rsidP="000C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Studijos vardu: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16B14EE" w14:textId="4872108F" w:rsidR="009B6210" w:rsidRPr="00093B9E" w:rsidRDefault="000C3190" w:rsidP="000C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Klientas:</w:t>
            </w:r>
          </w:p>
        </w:tc>
      </w:tr>
      <w:tr w:rsidR="009B6210" w:rsidRPr="00093B9E" w14:paraId="2CC435F5" w14:textId="77777777" w:rsidTr="000C3190">
        <w:trPr>
          <w:trHeight w:val="23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539BE1E" w14:textId="594A1A6D" w:rsidR="009B6210" w:rsidRPr="00093B9E" w:rsidRDefault="009B621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699FE79" w14:textId="79C56828" w:rsidR="009B6210" w:rsidRPr="00093B9E" w:rsidRDefault="009B621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093B9E" w14:paraId="643E7752" w14:textId="77777777" w:rsidTr="000C3190">
        <w:trPr>
          <w:trHeight w:val="23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29358E0" w14:textId="77777777" w:rsidR="009B6210" w:rsidRPr="00093B9E" w:rsidRDefault="009B621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E56D536" w14:textId="23C18837" w:rsidR="009B6210" w:rsidRPr="00093B9E" w:rsidRDefault="009B621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B6210" w:rsidRPr="00093B9E" w14:paraId="4B450DD0" w14:textId="77777777" w:rsidTr="000C3190">
        <w:trPr>
          <w:trHeight w:val="23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415CF61" w14:textId="0F395551" w:rsidR="009B6210" w:rsidRPr="00093B9E" w:rsidRDefault="000C3190" w:rsidP="000C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____________________________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B74649F" w14:textId="566D42B3" w:rsidR="009B6210" w:rsidRPr="00093B9E" w:rsidRDefault="000C3190" w:rsidP="000C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____________________________</w:t>
            </w:r>
          </w:p>
        </w:tc>
      </w:tr>
      <w:tr w:rsidR="000C3190" w:rsidRPr="00093B9E" w14:paraId="369AAB09" w14:textId="77777777" w:rsidTr="000C3190">
        <w:trPr>
          <w:trHeight w:val="23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4FF6418" w14:textId="1B58312B" w:rsidR="000C3190" w:rsidRPr="00093B9E" w:rsidRDefault="000C319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 xml:space="preserve">Direktorė Kristina </w:t>
            </w:r>
            <w:proofErr w:type="spellStart"/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Zai</w:t>
            </w:r>
            <w:r w:rsidR="000E416D">
              <w:rPr>
                <w:rFonts w:ascii="Arial" w:hAnsi="Arial" w:cs="Arial"/>
                <w:sz w:val="20"/>
                <w:szCs w:val="20"/>
                <w:lang w:val="lt-LT"/>
              </w:rPr>
              <w:t>č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enkovienė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4AFC80F" w14:textId="520A26A8" w:rsidR="000C3190" w:rsidRPr="00093B9E" w:rsidRDefault="000C3190" w:rsidP="000C3190">
            <w:pPr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[</w:t>
            </w:r>
            <w:r w:rsidR="009152A0"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Vardas Pa</w:t>
            </w:r>
            <w:r w:rsidR="001453FC" w:rsidRPr="0015632E">
              <w:rPr>
                <w:rFonts w:ascii="Arial" w:hAnsi="Arial" w:cs="Arial"/>
                <w:sz w:val="20"/>
                <w:szCs w:val="20"/>
                <w:highlight w:val="lightGray"/>
                <w:lang w:val="lt-LT"/>
              </w:rPr>
              <w:t>vardė</w:t>
            </w:r>
            <w:r w:rsidRPr="00093B9E">
              <w:rPr>
                <w:rFonts w:ascii="Arial" w:hAnsi="Arial" w:cs="Arial"/>
                <w:sz w:val="20"/>
                <w:szCs w:val="20"/>
                <w:lang w:val="lt-LT"/>
              </w:rPr>
              <w:t>]</w:t>
            </w:r>
          </w:p>
        </w:tc>
      </w:tr>
    </w:tbl>
    <w:p w14:paraId="24AEF888" w14:textId="4CA06C39" w:rsidR="00537331" w:rsidRPr="00093B9E" w:rsidRDefault="00537331" w:rsidP="000C3190">
      <w:pPr>
        <w:jc w:val="both"/>
        <w:rPr>
          <w:lang w:val="lt-LT"/>
        </w:rPr>
      </w:pPr>
    </w:p>
    <w:sectPr w:rsidR="00537331" w:rsidRPr="00093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03CA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420770"/>
    <w:multiLevelType w:val="hybridMultilevel"/>
    <w:tmpl w:val="F65E232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E1473"/>
    <w:multiLevelType w:val="hybridMultilevel"/>
    <w:tmpl w:val="6F6044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C32BE"/>
    <w:multiLevelType w:val="hybridMultilevel"/>
    <w:tmpl w:val="96B65CA2"/>
    <w:lvl w:ilvl="0" w:tplc="5D0E7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00459">
    <w:abstractNumId w:val="1"/>
  </w:num>
  <w:num w:numId="2" w16cid:durableId="1452938809">
    <w:abstractNumId w:val="3"/>
  </w:num>
  <w:num w:numId="3" w16cid:durableId="1914503787">
    <w:abstractNumId w:val="2"/>
  </w:num>
  <w:num w:numId="4" w16cid:durableId="7722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31"/>
    <w:rsid w:val="00081B18"/>
    <w:rsid w:val="00093B9E"/>
    <w:rsid w:val="000C3190"/>
    <w:rsid w:val="000D315E"/>
    <w:rsid w:val="000E416D"/>
    <w:rsid w:val="0010033D"/>
    <w:rsid w:val="00137DF3"/>
    <w:rsid w:val="001453FC"/>
    <w:rsid w:val="00146967"/>
    <w:rsid w:val="0015632E"/>
    <w:rsid w:val="00165C55"/>
    <w:rsid w:val="001B17A1"/>
    <w:rsid w:val="00205B52"/>
    <w:rsid w:val="00215763"/>
    <w:rsid w:val="002F26F9"/>
    <w:rsid w:val="003931C6"/>
    <w:rsid w:val="003C00EA"/>
    <w:rsid w:val="00423D95"/>
    <w:rsid w:val="004373EE"/>
    <w:rsid w:val="00461060"/>
    <w:rsid w:val="0049346E"/>
    <w:rsid w:val="00537331"/>
    <w:rsid w:val="0057672E"/>
    <w:rsid w:val="005A04F9"/>
    <w:rsid w:val="005C39BB"/>
    <w:rsid w:val="005C3E65"/>
    <w:rsid w:val="005F6BD6"/>
    <w:rsid w:val="006723B2"/>
    <w:rsid w:val="006A758E"/>
    <w:rsid w:val="006C6C53"/>
    <w:rsid w:val="006F780B"/>
    <w:rsid w:val="00720F47"/>
    <w:rsid w:val="00723D10"/>
    <w:rsid w:val="00742024"/>
    <w:rsid w:val="007C3976"/>
    <w:rsid w:val="00873943"/>
    <w:rsid w:val="008767A9"/>
    <w:rsid w:val="008A67C3"/>
    <w:rsid w:val="008A6B33"/>
    <w:rsid w:val="009152A0"/>
    <w:rsid w:val="00916262"/>
    <w:rsid w:val="009348DD"/>
    <w:rsid w:val="009615C5"/>
    <w:rsid w:val="009959CC"/>
    <w:rsid w:val="009A621F"/>
    <w:rsid w:val="009B6210"/>
    <w:rsid w:val="009E7B0F"/>
    <w:rsid w:val="009F0863"/>
    <w:rsid w:val="00A15FB8"/>
    <w:rsid w:val="00A56107"/>
    <w:rsid w:val="00A6107B"/>
    <w:rsid w:val="00B8288E"/>
    <w:rsid w:val="00BA626C"/>
    <w:rsid w:val="00BD5F13"/>
    <w:rsid w:val="00BD75B2"/>
    <w:rsid w:val="00BF1DA6"/>
    <w:rsid w:val="00C202F9"/>
    <w:rsid w:val="00C3325E"/>
    <w:rsid w:val="00CF117C"/>
    <w:rsid w:val="00D03204"/>
    <w:rsid w:val="00D2729A"/>
    <w:rsid w:val="00D3366A"/>
    <w:rsid w:val="00D56F94"/>
    <w:rsid w:val="00DA6579"/>
    <w:rsid w:val="00E03940"/>
    <w:rsid w:val="00E6136A"/>
    <w:rsid w:val="00E74AEC"/>
    <w:rsid w:val="00E93AAF"/>
    <w:rsid w:val="00EA31B9"/>
    <w:rsid w:val="00ED05B8"/>
    <w:rsid w:val="00EF0128"/>
    <w:rsid w:val="00F115ED"/>
    <w:rsid w:val="00F12527"/>
    <w:rsid w:val="00F51678"/>
    <w:rsid w:val="00F51E18"/>
    <w:rsid w:val="00FA325C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ADD8"/>
  <w15:chartTrackingRefBased/>
  <w15:docId w15:val="{794FD4A5-02AC-409C-A9B0-F6593EE0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F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5F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nyba@vvtat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c.europa.eu/od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vta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91B216B26590244BD7DC61006156F8D" ma:contentTypeVersion="18" ma:contentTypeDescription="Kurkite naują dokumentą." ma:contentTypeScope="" ma:versionID="afd90541f1a3ff31c10405df5f9f1e50">
  <xsd:schema xmlns:xsd="http://www.w3.org/2001/XMLSchema" xmlns:xs="http://www.w3.org/2001/XMLSchema" xmlns:p="http://schemas.microsoft.com/office/2006/metadata/properties" xmlns:ns2="8c600a21-f408-42f5-92e4-29e1dd43c466" xmlns:ns3="23bd7a49-ab34-4835-b0a7-acad03146a4a" targetNamespace="http://schemas.microsoft.com/office/2006/metadata/properties" ma:root="true" ma:fieldsID="2913e5a064405f866ebe1fbcbcef1b40" ns2:_="" ns3:_="">
    <xsd:import namespace="8c600a21-f408-42f5-92e4-29e1dd43c466"/>
    <xsd:import namespace="23bd7a49-ab34-4835-b0a7-acad0314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0a21-f408-42f5-92e4-29e1dd43c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95ae18-8339-4521-b7a2-12d21b8bc869}" ma:internalName="TaxCatchAll" ma:showField="CatchAllData" ma:web="8c600a21-f408-42f5-92e4-29e1dd43c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d7a49-ab34-4835-b0a7-acad0314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f6579cba-837e-497f-946e-e5c1d947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600a21-f408-42f5-92e4-29e1dd43c466" xsi:nil="true"/>
    <lcf76f155ced4ddcb4097134ff3c332f xmlns="23bd7a49-ab34-4835-b0a7-acad03146a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5F3EC-5B03-4EF2-9461-64F2A214B700}"/>
</file>

<file path=customXml/itemProps2.xml><?xml version="1.0" encoding="utf-8"?>
<ds:datastoreItem xmlns:ds="http://schemas.openxmlformats.org/officeDocument/2006/customXml" ds:itemID="{77D1F681-5182-4320-B09D-1F20E06BEA6F}">
  <ds:schemaRefs>
    <ds:schemaRef ds:uri="http://schemas.microsoft.com/office/2006/metadata/properties"/>
    <ds:schemaRef ds:uri="http://schemas.microsoft.com/office/infopath/2007/PartnerControls"/>
    <ds:schemaRef ds:uri="8c600a21-f408-42f5-92e4-29e1dd43c466"/>
    <ds:schemaRef ds:uri="23bd7a49-ab34-4835-b0a7-acad03146a4a"/>
  </ds:schemaRefs>
</ds:datastoreItem>
</file>

<file path=customXml/itemProps3.xml><?xml version="1.0" encoding="utf-8"?>
<ds:datastoreItem xmlns:ds="http://schemas.openxmlformats.org/officeDocument/2006/customXml" ds:itemID="{3B2A7379-8DDF-4ABB-972C-4E196CD9F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4338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Pilates house</dc:creator>
  <cp:keywords/>
  <dc:description/>
  <cp:lastModifiedBy>Gvidas Kontautas</cp:lastModifiedBy>
  <cp:revision>46</cp:revision>
  <dcterms:created xsi:type="dcterms:W3CDTF">2024-11-27T08:32:00Z</dcterms:created>
  <dcterms:modified xsi:type="dcterms:W3CDTF">2024-12-17T11:40:00Z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0x010100391B216B26590244BD7DC61006156F8D</vt:lpwstr>
  </property>
  <property fmtid="{D5CDD505-2E9C-101B-9397-08002B2CF9AE}" pid="3" name="MediaServiceImageTags">
    <vt:lpwstr/>
  </property>
</Properties>
</file>